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289E8" w14:textId="4FCE2045" w:rsidR="003B022D" w:rsidRPr="00AA77E3" w:rsidRDefault="00AA77E3" w:rsidP="003B022D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70C0"/>
          <w:sz w:val="28"/>
          <w:szCs w:val="28"/>
          <w:lang w:eastAsia="hu-HU"/>
        </w:rPr>
      </w:pPr>
      <w:r w:rsidRPr="00AA77E3">
        <w:rPr>
          <w:rFonts w:ascii="Cambria" w:eastAsia="Times New Roman" w:hAnsi="Cambria" w:cs="Times New Roman"/>
          <w:b/>
          <w:color w:val="0070C0"/>
          <w:sz w:val="28"/>
          <w:szCs w:val="28"/>
          <w:lang w:eastAsia="hu-HU"/>
        </w:rPr>
        <w:t>Az o</w:t>
      </w:r>
      <w:r w:rsidR="003B022D" w:rsidRPr="00AA77E3">
        <w:rPr>
          <w:rFonts w:ascii="Cambria" w:eastAsia="Times New Roman" w:hAnsi="Cambria" w:cs="Times New Roman"/>
          <w:b/>
          <w:color w:val="0070C0"/>
          <w:sz w:val="28"/>
          <w:szCs w:val="28"/>
          <w:lang w:eastAsia="hu-HU"/>
        </w:rPr>
        <w:t xml:space="preserve">sztályozó vizsgák anyaga latin nyelvből </w:t>
      </w:r>
    </w:p>
    <w:p w14:paraId="74338755" w14:textId="696C7C1E" w:rsidR="003B022D" w:rsidRPr="00AA77E3" w:rsidRDefault="003B022D" w:rsidP="003B022D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70C0"/>
          <w:sz w:val="28"/>
          <w:szCs w:val="28"/>
          <w:lang w:eastAsia="hu-HU"/>
        </w:rPr>
      </w:pPr>
      <w:r w:rsidRPr="00AA77E3">
        <w:rPr>
          <w:rFonts w:ascii="Cambria" w:eastAsia="Times New Roman" w:hAnsi="Cambria" w:cs="Times New Roman"/>
          <w:b/>
          <w:color w:val="0070C0"/>
          <w:sz w:val="28"/>
          <w:szCs w:val="28"/>
          <w:lang w:eastAsia="hu-HU"/>
        </w:rPr>
        <w:t>11-12. osztály</w:t>
      </w:r>
    </w:p>
    <w:p w14:paraId="1975B19D" w14:textId="532BA2EF" w:rsidR="003B022D" w:rsidRPr="003B022D" w:rsidRDefault="003B022D" w:rsidP="003B022D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323E4F" w:themeColor="text2" w:themeShade="BF"/>
          <w:sz w:val="24"/>
          <w:szCs w:val="24"/>
          <w:lang w:eastAsia="hu-HU"/>
        </w:rPr>
      </w:pPr>
    </w:p>
    <w:p w14:paraId="1176FFF9" w14:textId="252D6C96" w:rsidR="00B25D0C" w:rsidRPr="00B25D0C" w:rsidRDefault="00B25D0C" w:rsidP="00B25D0C">
      <w:pPr>
        <w:shd w:val="clear" w:color="auto" w:fill="F2F2F2" w:themeFill="background1" w:themeFillShade="F2"/>
        <w:spacing w:before="120" w:after="0" w:line="240" w:lineRule="auto"/>
        <w:jc w:val="both"/>
        <w:rPr>
          <w:rFonts w:ascii="Cambria" w:eastAsia="Times New Roman" w:hAnsi="Cambria" w:cs="Times New Roman"/>
          <w:b/>
          <w:bCs/>
          <w:i/>
          <w:iCs/>
          <w:color w:val="0070C0"/>
          <w:sz w:val="24"/>
          <w:szCs w:val="24"/>
          <w:lang w:eastAsia="hu-HU"/>
        </w:rPr>
      </w:pPr>
      <w:r w:rsidRPr="00B25D0C">
        <w:rPr>
          <w:rFonts w:ascii="Cambria" w:eastAsia="Times New Roman" w:hAnsi="Cambria" w:cs="Times New Roman"/>
          <w:b/>
          <w:bCs/>
          <w:i/>
          <w:iCs/>
          <w:color w:val="0070C0"/>
          <w:sz w:val="24"/>
          <w:szCs w:val="24"/>
          <w:lang w:eastAsia="hu-HU"/>
        </w:rPr>
        <w:t xml:space="preserve">A tantárgy jellegéből fakadóan a konkrét szövegek kiválasztásában, </w:t>
      </w:r>
      <w:r w:rsidRPr="00B25D0C">
        <w:rPr>
          <w:rFonts w:ascii="Cambria" w:eastAsia="Times New Roman" w:hAnsi="Cambria" w:cs="Times New Roman"/>
          <w:b/>
          <w:bCs/>
          <w:i/>
          <w:iCs/>
          <w:color w:val="0070C0"/>
          <w:sz w:val="24"/>
          <w:szCs w:val="24"/>
          <w:lang w:eastAsia="hu-HU"/>
        </w:rPr>
        <w:t xml:space="preserve">a kultúrtörténeti vonatkozások hangsúlyaiban, </w:t>
      </w:r>
      <w:r w:rsidRPr="00B25D0C">
        <w:rPr>
          <w:rFonts w:ascii="Cambria" w:eastAsia="Times New Roman" w:hAnsi="Cambria" w:cs="Times New Roman"/>
          <w:b/>
          <w:bCs/>
          <w:i/>
          <w:iCs/>
          <w:color w:val="0070C0"/>
          <w:sz w:val="24"/>
          <w:szCs w:val="24"/>
          <w:lang w:eastAsia="hu-HU"/>
        </w:rPr>
        <w:t>a témakörök,</w:t>
      </w:r>
      <w:r w:rsidRPr="00B25D0C">
        <w:rPr>
          <w:rFonts w:ascii="Cambria" w:eastAsia="Times New Roman" w:hAnsi="Cambria" w:cs="Times New Roman"/>
          <w:b/>
          <w:bCs/>
          <w:i/>
          <w:iCs/>
          <w:color w:val="0070C0"/>
          <w:sz w:val="24"/>
          <w:szCs w:val="24"/>
          <w:lang w:eastAsia="hu-HU"/>
        </w:rPr>
        <w:t xml:space="preserve"> sorrendjében, a</w:t>
      </w:r>
      <w:r w:rsidRPr="00B25D0C">
        <w:rPr>
          <w:rFonts w:ascii="Cambria" w:eastAsia="Times New Roman" w:hAnsi="Cambria" w:cs="Times New Roman"/>
          <w:b/>
          <w:bCs/>
          <w:i/>
          <w:iCs/>
          <w:color w:val="0070C0"/>
          <w:sz w:val="24"/>
          <w:szCs w:val="24"/>
          <w:lang w:eastAsia="hu-HU"/>
        </w:rPr>
        <w:t xml:space="preserve"> nyelvtani anyag tanításában a szaktanár döntési szabadságot élvez, így az egyes csoportok által követett ütem, az olvasott szövegek, a megtanult nyelvtani, lexikális ismeretek </w:t>
      </w:r>
      <w:r w:rsidRPr="00B25D0C">
        <w:rPr>
          <w:rFonts w:ascii="Cambria" w:eastAsia="Times New Roman" w:hAnsi="Cambria" w:cs="Times New Roman"/>
          <w:b/>
          <w:bCs/>
          <w:i/>
          <w:iCs/>
          <w:color w:val="0070C0"/>
          <w:sz w:val="24"/>
          <w:szCs w:val="24"/>
          <w:lang w:eastAsia="hu-HU"/>
        </w:rPr>
        <w:t>eltérhetnek</w:t>
      </w:r>
      <w:r w:rsidRPr="00B25D0C">
        <w:rPr>
          <w:rFonts w:ascii="Cambria" w:eastAsia="Times New Roman" w:hAnsi="Cambria" w:cs="Times New Roman"/>
          <w:b/>
          <w:bCs/>
          <w:i/>
          <w:iCs/>
          <w:color w:val="0070C0"/>
          <w:sz w:val="24"/>
          <w:szCs w:val="24"/>
          <w:lang w:eastAsia="hu-HU"/>
        </w:rPr>
        <w:t xml:space="preserve">. </w:t>
      </w:r>
    </w:p>
    <w:p w14:paraId="25177F2F" w14:textId="77777777" w:rsidR="00B25D0C" w:rsidRDefault="00B25D0C" w:rsidP="00B25D0C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bCs/>
          <w:color w:val="0070C0"/>
          <w:sz w:val="24"/>
          <w:szCs w:val="24"/>
          <w:lang w:eastAsia="hu-HU"/>
        </w:rPr>
      </w:pPr>
    </w:p>
    <w:p w14:paraId="4C168EEE" w14:textId="6D991715" w:rsidR="003B022D" w:rsidRPr="00AA77E3" w:rsidRDefault="003B022D" w:rsidP="003B022D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bCs/>
          <w:color w:val="0070C0"/>
          <w:sz w:val="24"/>
          <w:szCs w:val="24"/>
          <w:lang w:eastAsia="hu-HU"/>
        </w:rPr>
      </w:pPr>
      <w:r w:rsidRPr="00AA77E3">
        <w:rPr>
          <w:rFonts w:ascii="Cambria" w:eastAsia="Times New Roman" w:hAnsi="Cambria" w:cs="Times New Roman"/>
          <w:b/>
          <w:bCs/>
          <w:color w:val="0070C0"/>
          <w:sz w:val="24"/>
          <w:szCs w:val="24"/>
          <w:lang w:eastAsia="hu-HU"/>
        </w:rPr>
        <w:t>Grammatika</w:t>
      </w:r>
    </w:p>
    <w:p w14:paraId="796FFAA6" w14:textId="77777777" w:rsidR="003B022D" w:rsidRPr="003B022D" w:rsidRDefault="003B022D" w:rsidP="003B022D">
      <w:pPr>
        <w:spacing w:before="120"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Ismerkedés a restituált ejtéssel.</w:t>
      </w:r>
    </w:p>
    <w:p w14:paraId="57EFACE3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A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deponens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és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semideponens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igék (az igék kettőssége – a szabályos ige szenvedő alakjával történő párhuzamba állítása révén). </w:t>
      </w:r>
    </w:p>
    <w:p w14:paraId="20C8609A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A rendhagyó igék (sum,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possum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volo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nolo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malo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fero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) feldolgozása táblázatba rendezés segítségével.</w:t>
      </w:r>
    </w:p>
    <w:p w14:paraId="422EA925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Az I. imperativus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passivi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a II. imperativus és a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supinumok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mondattani szerepének magyarázata (a fordítások sokszínűségének bizonyítása, pl. célhatározás, tekintethatározó).</w:t>
      </w:r>
    </w:p>
    <w:p w14:paraId="131BC8EF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A gerundium, a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gerundivum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és a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gerundivumos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szerkezet mondattani szerepe (pl.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gerundivumos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szerkezet átalakítása tárggyal álló gerundiummá és viszont).</w:t>
      </w:r>
    </w:p>
    <w:p w14:paraId="2BF84028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A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coniugatio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periphrastica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(két eddig különálló nyelvtan összekapcsolása, a kellés kifejezési módjainak gyakorlása).</w:t>
      </w:r>
    </w:p>
    <w:p w14:paraId="6DC2155F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A tiltás gazdag kifejezési formái (gyűjtés olvasmányokból). </w:t>
      </w:r>
    </w:p>
    <w:p w14:paraId="49BACB5B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A coniunctivusok önálló használata. (pl.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hortativus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optativus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dubitativus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). A főmondati és a mellékmondati coniunctivusok szerepének megkülönböztetése.</w:t>
      </w:r>
    </w:p>
    <w:p w14:paraId="1E1846FD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A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passivum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– a szenvedő szerkezet szerkesztése (mondatok átalakítása: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activ-passiv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passiv-activ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).</w:t>
      </w:r>
    </w:p>
    <w:p w14:paraId="30487E51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A mondatrövidítő szerkezetek (nominativus cum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infinitivo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accusativus cum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indfinitivo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ablativus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absolutus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participium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coniunctum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ablativus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absolutus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mancus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) transzformálása egyszerű példákon. </w:t>
      </w:r>
    </w:p>
    <w:p w14:paraId="6822A8F6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A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consecutio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temporum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szabályainak alkalmazása (a szabályok elemzése latin mondatokban, egyszerű, hiányos mondatok megoldása).</w:t>
      </w:r>
    </w:p>
    <w:p w14:paraId="14B8E6C5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A szövegekben előforduló egyszerű és összetett (alá- és mellérendelő mondatok) mondatok, kötőszavak rendszerezése (egyszerű mondatok, ún. mintamondat modellek fordítása).</w:t>
      </w:r>
    </w:p>
    <w:p w14:paraId="1479E1A5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Az esettani jelenségek kibővítése (a gyakoribb esetek ismert szövegekben történő felismerése és fordítása).</w:t>
      </w:r>
    </w:p>
    <w:p w14:paraId="22D234C2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Az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oratio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recta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és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obliqua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értelmezése (párhuzam az élő idegen nyelvekkel).</w:t>
      </w:r>
    </w:p>
    <w:p w14:paraId="753ECAB1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Az ezüstkori és az egyházi latin nyelv sajátosságai (a stiláris jegyek elkülönítése szövegekben).</w:t>
      </w:r>
    </w:p>
    <w:p w14:paraId="04F2EECD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A szóképzés formái, gyakorlata (az ige-, főnév-, melléknévképzők, képzett szavak keresése).</w:t>
      </w:r>
    </w:p>
    <w:p w14:paraId="76BFE3BE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Latin-magyar középszótár használata, tanári irányítás nélkül közepes nehézségű szövegek fordítása. Internetes szótárak segítségével transzformációs feladatok elvégzése.</w:t>
      </w:r>
    </w:p>
    <w:p w14:paraId="0F93B20F" w14:textId="77777777" w:rsidR="00AA77E3" w:rsidRPr="003B022D" w:rsidRDefault="00AA77E3" w:rsidP="00AA77E3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Stíluselemzés, a szöveg művészi tagolásának áttekintése.</w:t>
      </w:r>
    </w:p>
    <w:p w14:paraId="302291FD" w14:textId="77777777" w:rsidR="00AA77E3" w:rsidRPr="003B022D" w:rsidRDefault="00AA77E3" w:rsidP="00AA77E3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lastRenderedPageBreak/>
        <w:t>A stilisztikai – verstani ismeretek (verslábak, metrumok, strófaszerkezetek) rendszerezése. A megismert metrumok és strófák felismerése, és az ismeretek alkalmazása költemények olvasásánál.</w:t>
      </w:r>
    </w:p>
    <w:p w14:paraId="42658FB9" w14:textId="3B72D933" w:rsidR="003B022D" w:rsidRDefault="003B022D" w:rsidP="003B022D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eastAsia="hu-HU"/>
        </w:rPr>
      </w:pPr>
    </w:p>
    <w:p w14:paraId="400341E9" w14:textId="1161E121" w:rsidR="003B022D" w:rsidRPr="003B022D" w:rsidRDefault="003B022D" w:rsidP="003B022D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eastAsia="hu-HU"/>
        </w:rPr>
      </w:pPr>
      <w:r w:rsidRPr="00B25D0C">
        <w:rPr>
          <w:rFonts w:ascii="Cambria" w:eastAsia="Times New Roman" w:hAnsi="Cambria" w:cs="Times New Roman"/>
          <w:b/>
          <w:color w:val="0070C0"/>
          <w:sz w:val="24"/>
          <w:szCs w:val="24"/>
          <w:lang w:eastAsia="hu-HU"/>
        </w:rPr>
        <w:t>Kulcsfogalmak:</w:t>
      </w:r>
      <w:r>
        <w:rPr>
          <w:rFonts w:ascii="Cambria" w:eastAsia="Times New Roman" w:hAnsi="Cambria" w:cs="Times New Roman"/>
          <w:b/>
          <w:sz w:val="24"/>
          <w:szCs w:val="24"/>
          <w:lang w:eastAsia="hu-HU"/>
        </w:rPr>
        <w:t xml:space="preserve">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Deponens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semideponens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supinum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gerundium,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gerundivum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coniugatio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periphrastica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consecutio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temporum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coniunctivus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hortativus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coniunctivus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optativus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coniunctivus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dubitativus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oratio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recta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oratio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obliqua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ablativus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absolutus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mancus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accusativus fajták (pl. loci,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temporis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), genitivus (pl.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possesivus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qualitatis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quantitatis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subiectivus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obiectivus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partitivus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), dativus (pl.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commodi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incommodi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auctoris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finalis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), ablativus (pl. loci,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temporis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rei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efficientis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auctoris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comparationis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instrumenti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sociativus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modi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mensurae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limitationis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).</w:t>
      </w:r>
    </w:p>
    <w:p w14:paraId="16D87B96" w14:textId="77777777" w:rsidR="003B022D" w:rsidRPr="003B022D" w:rsidRDefault="003B022D" w:rsidP="003B022D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0A09ECDB" w14:textId="1B822EC8" w:rsidR="003B022D" w:rsidRPr="00B25D0C" w:rsidRDefault="003B022D" w:rsidP="003B022D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color w:val="0070C0"/>
          <w:sz w:val="24"/>
          <w:szCs w:val="24"/>
          <w:lang w:eastAsia="hu-HU"/>
        </w:rPr>
      </w:pPr>
      <w:r w:rsidRPr="00B25D0C">
        <w:rPr>
          <w:rFonts w:ascii="Cambria" w:eastAsia="Times New Roman" w:hAnsi="Cambria" w:cs="Times New Roman"/>
          <w:b/>
          <w:bCs/>
          <w:color w:val="0070C0"/>
          <w:sz w:val="24"/>
          <w:szCs w:val="24"/>
          <w:lang w:eastAsia="hu-HU"/>
        </w:rPr>
        <w:t>Szövegfeldolgozás</w:t>
      </w:r>
    </w:p>
    <w:p w14:paraId="5A45D5FB" w14:textId="77777777" w:rsidR="003B022D" w:rsidRPr="00AA77E3" w:rsidRDefault="003B022D" w:rsidP="00AA77E3">
      <w:pPr>
        <w:pStyle w:val="Listaszerbekezds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AA77E3"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t>Catullus</w:t>
      </w:r>
      <w:r w:rsidRPr="00AA77E3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szerelmi lírájából ízelítő </w:t>
      </w:r>
    </w:p>
    <w:p w14:paraId="442EF4CC" w14:textId="77777777" w:rsidR="003B022D" w:rsidRPr="00AA77E3" w:rsidRDefault="003B022D" w:rsidP="00AA77E3">
      <w:pPr>
        <w:pStyle w:val="Listaszerbekezds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AA77E3">
        <w:rPr>
          <w:rFonts w:ascii="Cambria" w:eastAsia="Times New Roman" w:hAnsi="Cambria" w:cs="Times New Roman"/>
          <w:sz w:val="24"/>
          <w:szCs w:val="24"/>
          <w:lang w:eastAsia="hu-HU"/>
        </w:rPr>
        <w:t xml:space="preserve">Szemelvények </w:t>
      </w:r>
      <w:proofErr w:type="spellStart"/>
      <w:r w:rsidRPr="00AA77E3">
        <w:rPr>
          <w:rFonts w:ascii="Cambria" w:eastAsia="Times New Roman" w:hAnsi="Cambria" w:cs="Times New Roman"/>
          <w:sz w:val="24"/>
          <w:szCs w:val="24"/>
          <w:lang w:eastAsia="hu-HU"/>
        </w:rPr>
        <w:t>Iulius</w:t>
      </w:r>
      <w:proofErr w:type="spellEnd"/>
      <w:r w:rsidRPr="00AA77E3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r w:rsidRPr="00AA77E3">
        <w:rPr>
          <w:rFonts w:ascii="Cambria" w:eastAsia="Times New Roman" w:hAnsi="Cambria" w:cs="Times New Roman"/>
          <w:b/>
          <w:sz w:val="24"/>
          <w:szCs w:val="24"/>
          <w:lang w:eastAsia="hu-HU"/>
        </w:rPr>
        <w:t>Caesar</w:t>
      </w:r>
      <w:r w:rsidRPr="00AA77E3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műveiből (pl. </w:t>
      </w:r>
      <w:r w:rsidRPr="00AA77E3">
        <w:rPr>
          <w:rFonts w:ascii="Cambria" w:eastAsia="Times New Roman" w:hAnsi="Cambria" w:cs="Times New Roman"/>
          <w:noProof/>
          <w:sz w:val="24"/>
          <w:szCs w:val="24"/>
          <w:lang w:eastAsia="hu-HU"/>
        </w:rPr>
        <w:t>a gallok társadalmáról, házassági és gyermeknevelési szokásairól, vallásukról, isteneikről, naptárukról, Caesar beszéde katonáihoz).</w:t>
      </w:r>
    </w:p>
    <w:p w14:paraId="5871FE30" w14:textId="77777777" w:rsidR="003B022D" w:rsidRPr="00AA77E3" w:rsidRDefault="003B022D" w:rsidP="00AA77E3">
      <w:pPr>
        <w:pStyle w:val="Listaszerbekezds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mbria" w:eastAsia="Times New Roman" w:hAnsi="Cambria" w:cs="Times New Roman"/>
          <w:noProof/>
          <w:sz w:val="24"/>
          <w:szCs w:val="24"/>
          <w:lang w:eastAsia="hu-HU"/>
        </w:rPr>
      </w:pPr>
      <w:r w:rsidRPr="00AA77E3">
        <w:rPr>
          <w:rFonts w:ascii="Cambria" w:eastAsia="Times New Roman" w:hAnsi="Cambria" w:cs="Times New Roman"/>
          <w:noProof/>
          <w:sz w:val="24"/>
          <w:szCs w:val="24"/>
          <w:lang w:eastAsia="hu-HU"/>
        </w:rPr>
        <w:t xml:space="preserve">Szemelvények </w:t>
      </w:r>
      <w:r w:rsidRPr="00AA77E3"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t>Vergilius</w:t>
      </w:r>
      <w:r w:rsidRPr="00AA77E3">
        <w:rPr>
          <w:rFonts w:ascii="Cambria" w:eastAsia="Times New Roman" w:hAnsi="Cambria" w:cs="Times New Roman"/>
          <w:noProof/>
          <w:sz w:val="24"/>
          <w:szCs w:val="24"/>
          <w:lang w:eastAsia="hu-HU"/>
        </w:rPr>
        <w:t xml:space="preserve"> </w:t>
      </w:r>
      <w:r w:rsidRPr="00AA77E3">
        <w:rPr>
          <w:rFonts w:ascii="Cambria" w:eastAsia="Times New Roman" w:hAnsi="Cambria" w:cs="Times New Roman"/>
          <w:b/>
          <w:bCs/>
          <w:noProof/>
          <w:sz w:val="24"/>
          <w:szCs w:val="24"/>
          <w:lang w:eastAsia="hu-HU"/>
        </w:rPr>
        <w:t>Aeneis</w:t>
      </w:r>
      <w:r w:rsidRPr="00AA77E3">
        <w:rPr>
          <w:rFonts w:ascii="Cambria" w:eastAsia="Times New Roman" w:hAnsi="Cambria" w:cs="Times New Roman"/>
          <w:noProof/>
          <w:sz w:val="24"/>
          <w:szCs w:val="24"/>
          <w:lang w:eastAsia="hu-HU"/>
        </w:rPr>
        <w:t>éből (pl. I., II., IV., VI., IX.,  XII. énekekből).</w:t>
      </w:r>
    </w:p>
    <w:p w14:paraId="28316D9A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Válogatás </w:t>
      </w:r>
      <w:r w:rsidRPr="003B022D">
        <w:rPr>
          <w:rFonts w:ascii="Cambria" w:eastAsia="Times New Roman" w:hAnsi="Cambria" w:cs="Times New Roman"/>
          <w:b/>
          <w:sz w:val="24"/>
          <w:szCs w:val="24"/>
          <w:lang w:eastAsia="hu-HU"/>
        </w:rPr>
        <w:t>Vergilius</w:t>
      </w: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Georgica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és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Eclogae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című műveiből (pl. Orpheus és Eurydice története,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Cyrene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nympha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története).</w:t>
      </w:r>
    </w:p>
    <w:p w14:paraId="0B467195" w14:textId="77777777" w:rsidR="003B022D" w:rsidRPr="00AA77E3" w:rsidRDefault="003B022D" w:rsidP="00AA77E3">
      <w:pPr>
        <w:pStyle w:val="Listaszerbekezds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mbria" w:eastAsia="Times New Roman" w:hAnsi="Cambria" w:cs="Times New Roman"/>
          <w:noProof/>
          <w:sz w:val="24"/>
          <w:szCs w:val="24"/>
          <w:lang w:eastAsia="hu-HU"/>
        </w:rPr>
      </w:pPr>
      <w:r w:rsidRPr="00AA77E3">
        <w:rPr>
          <w:rFonts w:ascii="Cambria" w:eastAsia="Times New Roman" w:hAnsi="Cambria" w:cs="Times New Roman"/>
          <w:sz w:val="24"/>
          <w:szCs w:val="24"/>
          <w:lang w:eastAsia="hu-HU"/>
        </w:rPr>
        <w:t xml:space="preserve">Ismerkedés </w:t>
      </w:r>
      <w:r w:rsidRPr="00AA77E3">
        <w:rPr>
          <w:rFonts w:ascii="Cambria" w:eastAsia="Times New Roman" w:hAnsi="Cambria" w:cs="Times New Roman"/>
          <w:b/>
          <w:sz w:val="24"/>
          <w:szCs w:val="24"/>
          <w:lang w:eastAsia="hu-HU"/>
        </w:rPr>
        <w:t>Cicero</w:t>
      </w:r>
      <w:r w:rsidRPr="00AA77E3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műveivel a fordítási készség fejlesztésére</w:t>
      </w:r>
      <w:r w:rsidRPr="00AA77E3">
        <w:rPr>
          <w:rFonts w:ascii="Cambria" w:eastAsia="Times New Roman" w:hAnsi="Cambria" w:cs="Times New Roman"/>
          <w:noProof/>
          <w:sz w:val="24"/>
          <w:szCs w:val="24"/>
          <w:lang w:eastAsia="hu-HU"/>
        </w:rPr>
        <w:t>, kommentárral ellátott és kommentár nélküli szövegek segítségével</w:t>
      </w:r>
      <w:r w:rsidRPr="00AA77E3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(pl. </w:t>
      </w:r>
      <w:r w:rsidRPr="00AA77E3">
        <w:rPr>
          <w:rFonts w:ascii="Cambria" w:eastAsia="Times New Roman" w:hAnsi="Cambria" w:cs="Times New Roman"/>
          <w:noProof/>
          <w:sz w:val="24"/>
          <w:szCs w:val="24"/>
          <w:lang w:eastAsia="hu-HU"/>
        </w:rPr>
        <w:t xml:space="preserve">hosszabb részletek az In Verrem, In Catilinam I. című beszédeiből, részletek </w:t>
      </w:r>
      <w:r w:rsidRPr="00AA77E3">
        <w:rPr>
          <w:rFonts w:ascii="Cambria" w:eastAsia="Times New Roman" w:hAnsi="Cambria" w:cs="Times New Roman"/>
          <w:sz w:val="24"/>
          <w:szCs w:val="24"/>
          <w:lang w:eastAsia="hu-HU"/>
        </w:rPr>
        <w:t>leveleiből és filozófiai értekezéseiből)</w:t>
      </w:r>
      <w:r w:rsidRPr="00AA77E3">
        <w:rPr>
          <w:rFonts w:ascii="Cambria" w:eastAsia="Times New Roman" w:hAnsi="Cambria" w:cs="Times New Roman"/>
          <w:noProof/>
          <w:sz w:val="24"/>
          <w:szCs w:val="24"/>
          <w:lang w:eastAsia="hu-HU"/>
        </w:rPr>
        <w:t>.</w:t>
      </w:r>
    </w:p>
    <w:p w14:paraId="2880234B" w14:textId="77777777" w:rsidR="003B022D" w:rsidRPr="00AA77E3" w:rsidRDefault="003B022D" w:rsidP="00AA77E3">
      <w:pPr>
        <w:pStyle w:val="Listaszerbekezds"/>
        <w:numPr>
          <w:ilvl w:val="0"/>
          <w:numId w:val="2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proofErr w:type="spellStart"/>
      <w:r w:rsidRPr="00AA77E3">
        <w:rPr>
          <w:rFonts w:ascii="Cambria" w:eastAsia="Times New Roman" w:hAnsi="Cambria" w:cs="Times New Roman"/>
          <w:b/>
          <w:sz w:val="24"/>
          <w:szCs w:val="24"/>
          <w:lang w:eastAsia="hu-HU"/>
        </w:rPr>
        <w:t>Lucretius</w:t>
      </w:r>
      <w:proofErr w:type="spellEnd"/>
      <w:r w:rsidRPr="00AA77E3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költészete (pl. Venus-himnusz, Porszem-hasonlat).</w:t>
      </w:r>
    </w:p>
    <w:p w14:paraId="56D6B6A2" w14:textId="77777777" w:rsidR="003B022D" w:rsidRPr="00AA77E3" w:rsidRDefault="003B022D" w:rsidP="00AA77E3">
      <w:pPr>
        <w:pStyle w:val="Listaszerbekezds"/>
        <w:numPr>
          <w:ilvl w:val="0"/>
          <w:numId w:val="2"/>
        </w:num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AA77E3">
        <w:rPr>
          <w:rFonts w:ascii="Cambria" w:eastAsia="Calibri" w:hAnsi="Cambria" w:cs="Times New Roman"/>
          <w:sz w:val="24"/>
          <w:szCs w:val="24"/>
        </w:rPr>
        <w:t xml:space="preserve">Válogatás </w:t>
      </w:r>
      <w:r w:rsidRPr="00AA77E3">
        <w:rPr>
          <w:rFonts w:ascii="Cambria" w:eastAsia="Calibri" w:hAnsi="Cambria" w:cs="Times New Roman"/>
          <w:b/>
          <w:sz w:val="24"/>
          <w:szCs w:val="24"/>
        </w:rPr>
        <w:t>Horatius</w:t>
      </w:r>
      <w:r w:rsidRPr="00AA77E3">
        <w:rPr>
          <w:rFonts w:ascii="Cambria" w:eastAsia="Calibri" w:hAnsi="Cambria" w:cs="Times New Roman"/>
          <w:sz w:val="24"/>
          <w:szCs w:val="24"/>
        </w:rPr>
        <w:t xml:space="preserve"> ódáiból, leveleiből, egyéb alkotásaiból (pl. Carmina I.1., I.9., I.11., I.22., I. 37., II.3., II.10., III.9., III.30.; Epod.7.; </w:t>
      </w:r>
      <w:proofErr w:type="spellStart"/>
      <w:r w:rsidRPr="00AA77E3">
        <w:rPr>
          <w:rFonts w:ascii="Cambria" w:eastAsia="Calibri" w:hAnsi="Cambria" w:cs="Times New Roman"/>
          <w:sz w:val="24"/>
          <w:szCs w:val="24"/>
        </w:rPr>
        <w:t>Epist</w:t>
      </w:r>
      <w:proofErr w:type="spellEnd"/>
      <w:r w:rsidRPr="00AA77E3">
        <w:rPr>
          <w:rFonts w:ascii="Cambria" w:eastAsia="Calibri" w:hAnsi="Cambria" w:cs="Times New Roman"/>
          <w:sz w:val="24"/>
          <w:szCs w:val="24"/>
        </w:rPr>
        <w:t xml:space="preserve">. I.4.; részletek a </w:t>
      </w:r>
      <w:proofErr w:type="spellStart"/>
      <w:r w:rsidRPr="00AA77E3">
        <w:rPr>
          <w:rFonts w:ascii="Cambria" w:eastAsia="Calibri" w:hAnsi="Cambria" w:cs="Times New Roman"/>
          <w:sz w:val="24"/>
          <w:szCs w:val="24"/>
        </w:rPr>
        <w:t>Sat</w:t>
      </w:r>
      <w:proofErr w:type="spellEnd"/>
      <w:r w:rsidRPr="00AA77E3">
        <w:rPr>
          <w:rFonts w:ascii="Cambria" w:eastAsia="Calibri" w:hAnsi="Cambria" w:cs="Times New Roman"/>
          <w:sz w:val="24"/>
          <w:szCs w:val="24"/>
        </w:rPr>
        <w:t xml:space="preserve">. I. 1., </w:t>
      </w:r>
      <w:proofErr w:type="spellStart"/>
      <w:proofErr w:type="gramStart"/>
      <w:r w:rsidRPr="00AA77E3">
        <w:rPr>
          <w:rFonts w:ascii="Cambria" w:eastAsia="Calibri" w:hAnsi="Cambria" w:cs="Times New Roman"/>
          <w:sz w:val="24"/>
          <w:szCs w:val="24"/>
        </w:rPr>
        <w:t>Epist</w:t>
      </w:r>
      <w:proofErr w:type="spellEnd"/>
      <w:r w:rsidRPr="00AA77E3">
        <w:rPr>
          <w:rFonts w:ascii="Cambria" w:eastAsia="Calibri" w:hAnsi="Cambria" w:cs="Times New Roman"/>
          <w:sz w:val="24"/>
          <w:szCs w:val="24"/>
        </w:rPr>
        <w:t>..</w:t>
      </w:r>
      <w:proofErr w:type="gramEnd"/>
      <w:r w:rsidRPr="00AA77E3">
        <w:rPr>
          <w:rFonts w:ascii="Cambria" w:eastAsia="Calibri" w:hAnsi="Cambria" w:cs="Times New Roman"/>
          <w:sz w:val="24"/>
          <w:szCs w:val="24"/>
        </w:rPr>
        <w:t xml:space="preserve"> II.3. költeményekből).</w:t>
      </w:r>
    </w:p>
    <w:p w14:paraId="06293C26" w14:textId="77777777" w:rsidR="003B022D" w:rsidRPr="00AA77E3" w:rsidRDefault="003B022D" w:rsidP="00AA77E3">
      <w:pPr>
        <w:pStyle w:val="Listaszerbekezds"/>
        <w:numPr>
          <w:ilvl w:val="0"/>
          <w:numId w:val="2"/>
        </w:num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AA77E3">
        <w:rPr>
          <w:rFonts w:ascii="Cambria" w:eastAsia="Calibri" w:hAnsi="Cambria" w:cs="Times New Roman"/>
          <w:sz w:val="24"/>
          <w:szCs w:val="24"/>
        </w:rPr>
        <w:t xml:space="preserve">Részletek </w:t>
      </w:r>
      <w:r w:rsidRPr="00AA77E3">
        <w:rPr>
          <w:rFonts w:ascii="Cambria" w:eastAsia="Calibri" w:hAnsi="Cambria" w:cs="Times New Roman"/>
          <w:b/>
          <w:sz w:val="24"/>
          <w:szCs w:val="24"/>
        </w:rPr>
        <w:t>Seneca</w:t>
      </w:r>
      <w:r w:rsidRPr="00AA77E3">
        <w:rPr>
          <w:rFonts w:ascii="Cambria" w:eastAsia="Calibri" w:hAnsi="Cambria" w:cs="Times New Roman"/>
          <w:sz w:val="24"/>
          <w:szCs w:val="24"/>
        </w:rPr>
        <w:t xml:space="preserve"> műveiből (pl. De </w:t>
      </w:r>
      <w:proofErr w:type="spellStart"/>
      <w:r w:rsidRPr="00AA77E3">
        <w:rPr>
          <w:rFonts w:ascii="Cambria" w:eastAsia="Calibri" w:hAnsi="Cambria" w:cs="Times New Roman"/>
          <w:sz w:val="24"/>
          <w:szCs w:val="24"/>
        </w:rPr>
        <w:t>ira</w:t>
      </w:r>
      <w:proofErr w:type="spellEnd"/>
      <w:r w:rsidRPr="00AA77E3">
        <w:rPr>
          <w:rFonts w:ascii="Cambria" w:eastAsia="Calibri" w:hAnsi="Cambria" w:cs="Times New Roman"/>
          <w:sz w:val="24"/>
          <w:szCs w:val="24"/>
        </w:rPr>
        <w:t xml:space="preserve"> III. 36., Cons. ad Pol. IV., </w:t>
      </w:r>
      <w:proofErr w:type="spellStart"/>
      <w:r w:rsidRPr="00AA77E3">
        <w:rPr>
          <w:rFonts w:ascii="Cambria" w:eastAsia="Calibri" w:hAnsi="Cambria" w:cs="Times New Roman"/>
          <w:sz w:val="24"/>
          <w:szCs w:val="24"/>
        </w:rPr>
        <w:t>Epist</w:t>
      </w:r>
      <w:proofErr w:type="spellEnd"/>
      <w:r w:rsidRPr="00AA77E3">
        <w:rPr>
          <w:rFonts w:ascii="Cambria" w:eastAsia="Calibri" w:hAnsi="Cambria" w:cs="Times New Roman"/>
          <w:sz w:val="24"/>
          <w:szCs w:val="24"/>
        </w:rPr>
        <w:t xml:space="preserve">. </w:t>
      </w:r>
      <w:proofErr w:type="spellStart"/>
      <w:r w:rsidRPr="00AA77E3">
        <w:rPr>
          <w:rFonts w:ascii="Cambria" w:eastAsia="Calibri" w:hAnsi="Cambria" w:cs="Times New Roman"/>
          <w:sz w:val="24"/>
          <w:szCs w:val="24"/>
        </w:rPr>
        <w:t>mor</w:t>
      </w:r>
      <w:proofErr w:type="spellEnd"/>
      <w:r w:rsidRPr="00AA77E3">
        <w:rPr>
          <w:rFonts w:ascii="Cambria" w:eastAsia="Calibri" w:hAnsi="Cambria" w:cs="Times New Roman"/>
          <w:sz w:val="24"/>
          <w:szCs w:val="24"/>
        </w:rPr>
        <w:t>. XVII., XLVII.).</w:t>
      </w:r>
    </w:p>
    <w:p w14:paraId="6C497CCE" w14:textId="64AE9C57" w:rsidR="003B022D" w:rsidRPr="00AA77E3" w:rsidRDefault="003B022D" w:rsidP="00AA77E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AA77E3">
        <w:rPr>
          <w:rFonts w:ascii="Cambria" w:eastAsia="Calibri" w:hAnsi="Cambria" w:cs="Times New Roman"/>
          <w:sz w:val="24"/>
          <w:szCs w:val="24"/>
        </w:rPr>
        <w:t xml:space="preserve">Szemelvények </w:t>
      </w:r>
      <w:r w:rsidRPr="00AA77E3">
        <w:rPr>
          <w:rFonts w:ascii="Cambria" w:eastAsia="Calibri" w:hAnsi="Cambria" w:cs="Times New Roman"/>
          <w:b/>
          <w:sz w:val="24"/>
          <w:szCs w:val="24"/>
        </w:rPr>
        <w:t>Plinius</w:t>
      </w:r>
      <w:r w:rsidRPr="00AA77E3">
        <w:rPr>
          <w:rFonts w:ascii="Cambria" w:eastAsia="Calibri" w:hAnsi="Cambria" w:cs="Times New Roman"/>
          <w:sz w:val="24"/>
          <w:szCs w:val="24"/>
        </w:rPr>
        <w:t xml:space="preserve"> Minor leveleiből (pl. I.6., IV.13., VI.16.).</w:t>
      </w:r>
    </w:p>
    <w:p w14:paraId="1302C925" w14:textId="77777777" w:rsidR="003B022D" w:rsidRPr="00AA77E3" w:rsidRDefault="003B022D" w:rsidP="00AA77E3">
      <w:pPr>
        <w:pStyle w:val="Listaszerbekezds"/>
        <w:numPr>
          <w:ilvl w:val="0"/>
          <w:numId w:val="2"/>
        </w:num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AA77E3">
        <w:rPr>
          <w:rFonts w:ascii="Cambria" w:eastAsia="Calibri" w:hAnsi="Cambria" w:cs="Times New Roman"/>
          <w:sz w:val="24"/>
          <w:szCs w:val="24"/>
        </w:rPr>
        <w:t xml:space="preserve">Válogatás </w:t>
      </w:r>
      <w:proofErr w:type="spellStart"/>
      <w:r w:rsidRPr="00AA77E3">
        <w:rPr>
          <w:rFonts w:ascii="Cambria" w:eastAsia="Calibri" w:hAnsi="Cambria" w:cs="Times New Roman"/>
          <w:b/>
          <w:sz w:val="24"/>
          <w:szCs w:val="24"/>
        </w:rPr>
        <w:t>Martialis</w:t>
      </w:r>
      <w:proofErr w:type="spellEnd"/>
      <w:r w:rsidRPr="00AA77E3">
        <w:rPr>
          <w:rFonts w:ascii="Cambria" w:eastAsia="Calibri" w:hAnsi="Cambria" w:cs="Times New Roman"/>
          <w:sz w:val="24"/>
          <w:szCs w:val="24"/>
        </w:rPr>
        <w:t xml:space="preserve"> epigrammáiból (pl. III. 8., 26., VIII. 69.).</w:t>
      </w:r>
    </w:p>
    <w:p w14:paraId="6CEB5EE4" w14:textId="77777777" w:rsidR="003B022D" w:rsidRPr="00AA77E3" w:rsidRDefault="003B022D" w:rsidP="00AA77E3">
      <w:pPr>
        <w:pStyle w:val="Listaszerbekezds"/>
        <w:numPr>
          <w:ilvl w:val="0"/>
          <w:numId w:val="2"/>
        </w:num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AA77E3">
        <w:rPr>
          <w:rFonts w:ascii="Cambria" w:eastAsia="Calibri" w:hAnsi="Cambria" w:cs="Times New Roman"/>
          <w:sz w:val="24"/>
          <w:szCs w:val="24"/>
        </w:rPr>
        <w:t xml:space="preserve">Részletek </w:t>
      </w:r>
      <w:r w:rsidRPr="00AA77E3">
        <w:rPr>
          <w:rFonts w:ascii="Cambria" w:eastAsia="Calibri" w:hAnsi="Cambria" w:cs="Times New Roman"/>
          <w:b/>
          <w:sz w:val="24"/>
          <w:szCs w:val="24"/>
        </w:rPr>
        <w:t>Tacitus</w:t>
      </w:r>
      <w:r w:rsidRPr="00AA77E3">
        <w:rPr>
          <w:rFonts w:ascii="Cambria" w:eastAsia="Calibri" w:hAnsi="Cambria" w:cs="Times New Roman"/>
          <w:sz w:val="24"/>
          <w:szCs w:val="24"/>
        </w:rPr>
        <w:t xml:space="preserve"> műveiből (pl. Annales I. I-VIII., XV. 62-64).</w:t>
      </w:r>
    </w:p>
    <w:p w14:paraId="1CA4317D" w14:textId="77777777" w:rsidR="003B022D" w:rsidRPr="00AA77E3" w:rsidRDefault="003B022D" w:rsidP="00AA77E3">
      <w:pPr>
        <w:pStyle w:val="Listaszerbekezds"/>
        <w:numPr>
          <w:ilvl w:val="0"/>
          <w:numId w:val="2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AA77E3">
        <w:rPr>
          <w:rFonts w:ascii="Cambria" w:eastAsia="Times New Roman" w:hAnsi="Cambria" w:cs="Times New Roman"/>
          <w:sz w:val="24"/>
          <w:szCs w:val="24"/>
          <w:lang w:eastAsia="hu-HU"/>
        </w:rPr>
        <w:t xml:space="preserve">A </w:t>
      </w:r>
      <w:r w:rsidRPr="00AA77E3"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t>stilisztikai-verstani ismeretek</w:t>
      </w:r>
      <w:r w:rsidRPr="00AA77E3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rendszerezése (verslábak, metrumok, strófaszerkezetek). A gyakoribb strófák felismerése, s a metrumolvasás szabályainak alkalmazásával történő felolvasása.</w:t>
      </w:r>
    </w:p>
    <w:p w14:paraId="620B482C" w14:textId="77777777" w:rsidR="003B022D" w:rsidRPr="00AA77E3" w:rsidRDefault="003B022D" w:rsidP="00AA77E3">
      <w:pPr>
        <w:pStyle w:val="Listaszerbekezds"/>
        <w:numPr>
          <w:ilvl w:val="0"/>
          <w:numId w:val="2"/>
        </w:num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AA77E3">
        <w:rPr>
          <w:rFonts w:ascii="Cambria" w:eastAsia="Calibri" w:hAnsi="Cambria" w:cs="Times New Roman"/>
          <w:sz w:val="24"/>
          <w:szCs w:val="24"/>
        </w:rPr>
        <w:t xml:space="preserve">Latin nyelvű </w:t>
      </w:r>
      <w:r w:rsidRPr="00AA77E3">
        <w:rPr>
          <w:rFonts w:ascii="Cambria" w:eastAsia="Calibri" w:hAnsi="Cambria" w:cs="Times New Roman"/>
          <w:b/>
          <w:bCs/>
          <w:sz w:val="24"/>
          <w:szCs w:val="24"/>
        </w:rPr>
        <w:t>feliratok</w:t>
      </w:r>
      <w:r w:rsidRPr="00AA77E3">
        <w:rPr>
          <w:rFonts w:ascii="Cambria" w:eastAsia="Calibri" w:hAnsi="Cambria" w:cs="Times New Roman"/>
          <w:sz w:val="24"/>
          <w:szCs w:val="24"/>
        </w:rPr>
        <w:t xml:space="preserve"> – az ókortól napjainkig, különös tekintettel Pannoniára.</w:t>
      </w:r>
    </w:p>
    <w:p w14:paraId="008757EC" w14:textId="77777777" w:rsidR="00AA77E3" w:rsidRPr="003B022D" w:rsidRDefault="00AA77E3" w:rsidP="003B022D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14:paraId="189E67FF" w14:textId="63645D31" w:rsidR="003B022D" w:rsidRPr="00B25D0C" w:rsidRDefault="003B022D" w:rsidP="003B022D">
      <w:pPr>
        <w:spacing w:after="0" w:line="240" w:lineRule="auto"/>
        <w:rPr>
          <w:rFonts w:ascii="Cambria" w:eastAsia="Times New Roman" w:hAnsi="Cambria" w:cs="Times New Roman"/>
          <w:b/>
          <w:bCs/>
          <w:color w:val="0070C0"/>
          <w:sz w:val="24"/>
          <w:szCs w:val="24"/>
          <w:lang w:eastAsia="hu-HU"/>
        </w:rPr>
      </w:pPr>
      <w:r w:rsidRPr="00B25D0C">
        <w:rPr>
          <w:rFonts w:ascii="Cambria" w:eastAsia="Times New Roman" w:hAnsi="Cambria" w:cs="Times New Roman"/>
          <w:b/>
          <w:bCs/>
          <w:color w:val="0070C0"/>
          <w:sz w:val="24"/>
          <w:szCs w:val="24"/>
          <w:lang w:eastAsia="hu-HU"/>
        </w:rPr>
        <w:t>Kulcsfogalmak:</w:t>
      </w:r>
    </w:p>
    <w:p w14:paraId="2C87B642" w14:textId="6D67CBEE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Körmondat (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periodus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), prózaritmus, retorika, retorikai eszköz, szónoki kérdés, költői kérdés, in medias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res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atticizmus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asianizmus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, eklektikus stílus, archaikus nyelvezet, stilisztikai példatár, szinonima, főnevesülés, elemző olvasás, elemzőfordítás, stilisztikai alakzat (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schemae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et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tropi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), interpretálás, eredeti szöveg, műfordítás, metrika, skandálás, strófa, kakofónia.</w:t>
      </w:r>
    </w:p>
    <w:p w14:paraId="19B0AB78" w14:textId="77777777" w:rsidR="003B022D" w:rsidRPr="003B022D" w:rsidRDefault="003B022D" w:rsidP="003B022D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161B90DC" w14:textId="77777777" w:rsidR="003B022D" w:rsidRPr="003B022D" w:rsidRDefault="003B022D" w:rsidP="003B022D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3A910AD5" w14:textId="62BA17F4" w:rsidR="003B022D" w:rsidRPr="00B25D0C" w:rsidRDefault="003B022D" w:rsidP="003B022D">
      <w:pPr>
        <w:spacing w:after="0" w:line="240" w:lineRule="auto"/>
        <w:jc w:val="both"/>
        <w:rPr>
          <w:rFonts w:ascii="Cambria" w:eastAsia="Times New Roman" w:hAnsi="Cambria" w:cs="Times New Roman"/>
          <w:b/>
          <w:color w:val="0070C0"/>
          <w:sz w:val="24"/>
          <w:szCs w:val="24"/>
          <w:lang w:eastAsia="hu-HU"/>
        </w:rPr>
      </w:pPr>
      <w:r w:rsidRPr="00B25D0C">
        <w:rPr>
          <w:rFonts w:ascii="Cambria" w:eastAsia="Times New Roman" w:hAnsi="Cambria" w:cs="Times New Roman"/>
          <w:b/>
          <w:color w:val="0070C0"/>
          <w:sz w:val="24"/>
          <w:szCs w:val="24"/>
          <w:lang w:eastAsia="hu-HU"/>
        </w:rPr>
        <w:t>Művelődés</w:t>
      </w:r>
    </w:p>
    <w:p w14:paraId="1835CCE6" w14:textId="6302648D" w:rsidR="003B022D" w:rsidRDefault="003B022D" w:rsidP="003B022D">
      <w:pPr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hu-HU"/>
        </w:rPr>
      </w:pPr>
    </w:p>
    <w:p w14:paraId="20663314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lastRenderedPageBreak/>
        <w:t xml:space="preserve">Catullus költészete (a szerelmi szenvedély Catullusnál,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Sappho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és Catullus, Catullus néhány verse több fordításban).</w:t>
      </w:r>
    </w:p>
    <w:p w14:paraId="0BC24EBA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Iulius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Caesar műveiből származó szemelvény feldolgozása politikai pályafutásának és nézeteinek elemzésével.</w:t>
      </w:r>
    </w:p>
    <w:p w14:paraId="3852DB7C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Vergilius műveiből származó szemelvények sokoldalú feldolgozása (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Dido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és Aeneas kapcsolata, a túlvilághit az Aeneisben, az Aeneis esztétikai értékei, Orpheus mítosza Vergiliusnál, az eclogák értékelése).</w:t>
      </w:r>
    </w:p>
    <w:p w14:paraId="5DBAFA70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Cicero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beszédeiből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, leveleiből és filozófiai műveiből származó szemelvények feldolgozása (a szerző pályafutásának, filozófiai és etikai nézeteinek értékelése, utóéletének jelentősége).</w:t>
      </w:r>
    </w:p>
    <w:p w14:paraId="69268515" w14:textId="77777777" w:rsidR="003B022D" w:rsidRPr="003B022D" w:rsidRDefault="003B022D" w:rsidP="003B022D">
      <w:pPr>
        <w:spacing w:before="120"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Lucretius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költészete (Epikurosz és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Lucretius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Lucretius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költészetének jellemzői,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Lucretius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hatása).</w:t>
      </w:r>
    </w:p>
    <w:p w14:paraId="05CC7423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Horatius költeményeinek feldolgozása (pályafutásának sajátosságai, filozófiai nézeteinek megjelenítése költeményeiben, alkotásainak esztétikai értékei, a szerző utóélete, műfordítási problémák).</w:t>
      </w:r>
    </w:p>
    <w:p w14:paraId="0F901FB6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Ovidius műveiből származó szemelvények feldolgozása (viszonya a hatalomhoz, görög és római mítoszok feldolgozása, költői bravúrok a verseiben, a költő utóélete).</w:t>
      </w:r>
    </w:p>
    <w:p w14:paraId="271D370D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Seneca értelmezése (a sztoikus filozófia, Seneca sajátos stílusa, életének megítélése, utóélete).</w:t>
      </w:r>
    </w:p>
    <w:p w14:paraId="26D5AE76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Petronius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Satyricon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c. regényéből származó szemelvény feldolgozása (az ókori regény, Petronius stílusa).</w:t>
      </w:r>
    </w:p>
    <w:p w14:paraId="6E92BC4E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Martialis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epigrammái (görög előzmények,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Martialis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jelentősége az epigramma történetében).</w:t>
      </w:r>
    </w:p>
    <w:p w14:paraId="0E4EFB91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Szemelvények Plinius Minor leveleiből (a kor tükröződése a szerző írásaiban, az irodalmi levél műfaja).</w:t>
      </w:r>
    </w:p>
    <w:p w14:paraId="0715ADA4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Tacitus történeti műveiből származó szemelvény olvasása (műveinek értéke, a szerző utóélete).</w:t>
      </w:r>
    </w:p>
    <w:p w14:paraId="65B31663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Pannoniából származó feliratos emlékek (Pannonia sajátosságai, az ókori Pannonia emlékei mai múzeumokban).</w:t>
      </w:r>
    </w:p>
    <w:p w14:paraId="226EBB71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Az ókeresztény irodalom (a latin liturgia, Aurelius Augustinus jelentősége az európai vallás- és művelődéstörténetben).</w:t>
      </w:r>
    </w:p>
    <w:p w14:paraId="0D19B1F9" w14:textId="77777777" w:rsidR="003B022D" w:rsidRPr="003B022D" w:rsidRDefault="003B022D" w:rsidP="003B022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A magyarországi latinság (középkori költemények és Janus Pannonius versei, oklevelekből és történeti művekből vett részletek elemzése, a latin nyelv változása az olvasott részletek tükrében).</w:t>
      </w:r>
    </w:p>
    <w:p w14:paraId="5E1EF350" w14:textId="77777777" w:rsidR="00AA77E3" w:rsidRDefault="00AA77E3" w:rsidP="003B022D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6BB73308" w14:textId="2FFB8875" w:rsidR="003B022D" w:rsidRPr="00B25D0C" w:rsidRDefault="003B022D" w:rsidP="003B022D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color w:val="0070C0"/>
          <w:sz w:val="24"/>
          <w:szCs w:val="24"/>
          <w:lang w:eastAsia="hu-HU"/>
        </w:rPr>
      </w:pPr>
      <w:r w:rsidRPr="00B25D0C">
        <w:rPr>
          <w:rFonts w:ascii="Cambria" w:eastAsia="Times New Roman" w:hAnsi="Cambria" w:cs="Times New Roman"/>
          <w:b/>
          <w:bCs/>
          <w:color w:val="0070C0"/>
          <w:sz w:val="24"/>
          <w:szCs w:val="24"/>
          <w:lang w:eastAsia="hu-HU"/>
        </w:rPr>
        <w:t>Kulcsfogalmak</w:t>
      </w:r>
    </w:p>
    <w:p w14:paraId="5FAEBB95" w14:textId="3E6B6019" w:rsidR="003B022D" w:rsidRDefault="003B022D" w:rsidP="003B022D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Sztoicizmus, epikureizmus,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clementia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Caesaris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pius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vagy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impius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Aeneas, tanköltemény, ekloga, bukolikus téma, idill, történetírás,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commentarius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pater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patriae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eklektikus filozófia,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oratio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atomos, tanköltemén, körmondat, </w:t>
      </w:r>
      <w:proofErr w:type="spellStart"/>
      <w:proofErr w:type="gram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oratio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carpe</w:t>
      </w:r>
      <w:proofErr w:type="spellEnd"/>
      <w:proofErr w:type="gram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diem,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aurea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mediocritas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carmen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et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error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poeta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natus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,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poeta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doctus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„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staccato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” stílus, sine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ira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et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proofErr w:type="spellStart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studio</w:t>
      </w:r>
      <w:proofErr w:type="spellEnd"/>
      <w:r w:rsidRPr="003B022D">
        <w:rPr>
          <w:rFonts w:ascii="Cambria" w:eastAsia="Times New Roman" w:hAnsi="Cambria" w:cs="Times New Roman"/>
          <w:sz w:val="24"/>
          <w:szCs w:val="24"/>
          <w:lang w:eastAsia="hu-HU"/>
        </w:rPr>
        <w:t>, tacitusi tömörség, antik szatíra, himnusz, archaikus nyelvezet.</w:t>
      </w:r>
    </w:p>
    <w:p w14:paraId="38527015" w14:textId="77777777" w:rsidR="00AA77E3" w:rsidRPr="003B022D" w:rsidRDefault="00AA77E3" w:rsidP="003B022D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144AB461" w14:textId="77777777" w:rsidR="003B022D" w:rsidRPr="003B022D" w:rsidRDefault="003B022D" w:rsidP="003B022D">
      <w:pPr>
        <w:widowControl w:val="0"/>
        <w:spacing w:after="120" w:line="240" w:lineRule="auto"/>
        <w:ind w:left="284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27D83DB4" w14:textId="77777777" w:rsidR="00EE733D" w:rsidRPr="003B022D" w:rsidRDefault="00EE733D">
      <w:pPr>
        <w:rPr>
          <w:rFonts w:ascii="Cambria" w:hAnsi="Cambria"/>
          <w:sz w:val="24"/>
          <w:szCs w:val="24"/>
        </w:rPr>
      </w:pPr>
    </w:p>
    <w:sectPr w:rsidR="00EE733D" w:rsidRPr="003B022D" w:rsidSect="00DB6350">
      <w:type w:val="continuous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9077A"/>
    <w:multiLevelType w:val="hybridMultilevel"/>
    <w:tmpl w:val="2054B2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F82568"/>
    <w:multiLevelType w:val="hybridMultilevel"/>
    <w:tmpl w:val="32B00A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4149225">
    <w:abstractNumId w:val="1"/>
  </w:num>
  <w:num w:numId="2" w16cid:durableId="2147114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2D"/>
    <w:rsid w:val="003B022D"/>
    <w:rsid w:val="00AA77E3"/>
    <w:rsid w:val="00B25D0C"/>
    <w:rsid w:val="00DB6350"/>
    <w:rsid w:val="00EE4D5D"/>
    <w:rsid w:val="00EE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D01632"/>
  <w15:chartTrackingRefBased/>
  <w15:docId w15:val="{9A0DBF6C-DD19-FB41-9EDD-932F4A3B7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B022D"/>
    <w:pPr>
      <w:spacing w:after="200" w:line="276" w:lineRule="auto"/>
      <w:jc w:val="left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A7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961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 Székely</dc:creator>
  <cp:keywords/>
  <dc:description/>
  <cp:lastModifiedBy>Judit Székely</cp:lastModifiedBy>
  <cp:revision>1</cp:revision>
  <dcterms:created xsi:type="dcterms:W3CDTF">2022-10-24T15:05:00Z</dcterms:created>
  <dcterms:modified xsi:type="dcterms:W3CDTF">2022-10-24T15:34:00Z</dcterms:modified>
</cp:coreProperties>
</file>