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after="0" w:before="0" w:lineRule="auto"/>
        <w:jc w:val="both"/>
        <w:rPr>
          <w:rFonts w:ascii="Cambria" w:cs="Cambria" w:eastAsia="Cambria" w:hAnsi="Cambria"/>
          <w:sz w:val="32"/>
          <w:szCs w:val="32"/>
        </w:rPr>
      </w:pPr>
      <w:bookmarkStart w:colFirst="0" w:colLast="0" w:name="_heading=h.uwcc1suzv5rs" w:id="0"/>
      <w:bookmarkEnd w:id="0"/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Az osztályozó vizsga követelményei magyar irodalomból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>
          <w:rFonts w:ascii="Cambria" w:cs="Cambria" w:eastAsia="Cambria" w:hAnsi="Cambria"/>
          <w:sz w:val="32"/>
          <w:szCs w:val="32"/>
        </w:rPr>
      </w:pPr>
      <w:r w:rsidDel="00000000" w:rsidR="00000000" w:rsidRPr="00000000">
        <w:rPr>
          <w:rFonts w:ascii="Cambria" w:cs="Cambria" w:eastAsia="Cambria" w:hAnsi="Cambria"/>
          <w:sz w:val="32"/>
          <w:szCs w:val="32"/>
          <w:rtl w:val="0"/>
        </w:rPr>
        <w:t xml:space="preserve">11. osztály</w:t>
      </w:r>
    </w:p>
    <w:p w:rsidR="00000000" w:rsidDel="00000000" w:rsidP="00000000" w:rsidRDefault="00000000" w:rsidRPr="00000000" w14:paraId="00000003">
      <w:pPr>
        <w:pStyle w:val="Heading1"/>
        <w:rPr>
          <w:rFonts w:ascii="Cambria" w:cs="Cambria" w:eastAsia="Cambria" w:hAnsi="Cambria"/>
        </w:rPr>
      </w:pPr>
      <w:bookmarkStart w:colFirst="0" w:colLast="0" w:name="_heading=h.gjdgxs" w:id="1"/>
      <w:bookmarkEnd w:id="1"/>
      <w:r w:rsidDel="00000000" w:rsidR="00000000" w:rsidRPr="00000000">
        <w:rPr>
          <w:rFonts w:ascii="Cambria" w:cs="Cambria" w:eastAsia="Cambria" w:hAnsi="Cambria"/>
          <w:rtl w:val="0"/>
        </w:rPr>
        <w:t xml:space="preserve">A klasszikus modernség irodalma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realizmus a nyugat-európai és orosz irodalomban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kötelező olvasmány: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Henrik Ibsen : A vadkacsa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Lev Nyikolajevics Tolsztoj: Ivan Iljics halála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követelmények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szövegek tartalmának ismerete;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2"/>
      <w:bookmarkEnd w:id="2"/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szerzőkhöz, illetve a hősökhöz kapcsolódó tudnivalók megismerése; 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klasszikus modern színház és dráma jellemzőinek, valamint a színház- és drámatörténetre gyakorolt hatásának ismerete;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hősök jellemzése, magatartásuk, konfliktusaik megértése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Magatartásformák, konfliktusok, értékek felismerése, szembesítése, a drámai művekben felvetett erkölcsi problémák megértése, mérlegelése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Cambria" w:cs="Cambria" w:eastAsia="Cambria" w:hAnsi="Cambria"/>
          <w:color w:val="000000"/>
        </w:rPr>
      </w:pPr>
      <w:bookmarkStart w:colFirst="0" w:colLast="0" w:name="_heading=h.1fob9te" w:id="3"/>
      <w:bookmarkEnd w:id="3"/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fogalmak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: klasszikus modernség, realizmus, realista regény, mindentudó elbeszélő, tolsztojanizmus, visszatekintő időszerkezet, analitikus dráma, drámaiatlan dráma, lírai dráma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Romantika és realizmus a XIX. század magyar irodalmában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Arany János: Toldi estéje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Madách Imre: Az ember tragédiája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Mikszáth Kálmán novellisztikája (1 novella)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követelmények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szövegek tartalmának ismerete;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szerzőkhöz, illetve a hősökhöz kapcsolódó tudnivalók megismerése; 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hősök jellemzése, magatartásuk, konfliktusaik megértése;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Magatartásformák, konfliktusok, értékek felismerése, szembesítése,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tragikum és a komikum megjelenése a Toldi estéjében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Az ember tragédiájának történelemfilozófiai dilemmáinak vizsgálata (pl.: Ki irányítja a történelmet?, Van-e fejlődés a történelemben?)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romantika és a realizmus találkozásának vizsgálata a mikszáthi epikában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Az anekdota műfaji jellegzetességeinek megismerése, az anekdota szerepének vizsgálata Mikszáth regényeiben és novelláiban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fogalmak: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groteszk, emberiségdráma, emberiségköltemény, drámai költemény, történelemfilozófia, történeti színek, keretszínek, falanszter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Magyar irodalom a XX. században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XX. századi magyar irodalom: Ady Endre, Babits Mihály, Kosztolányi Dezső, Móricz Zsigmond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kötelező olvasmány: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Babits Mihály: Jónás könyve, Jónás imája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Kosztolányi Dezső: Édes Anna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Móricz Zsigmond novellisztikája (1 novella)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követelmények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Ady Endre életművének főbb témái (pl.: szerelem, magyarság, Élet-Halál, Isten, költészet, pénz, háború, stb.) és versformái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szimbólumok újszerű használata az életműben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Ady Endre életútjának költészetét meghatározó főbb eseményei, kapcsolatuk a költői pálya alakulásával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költő főbb pályaszakaszainak jellemzői, az Új versek c. kötet felépítésének tanulmányozása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Nyugat születése, jelentőségének felismerése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Babits Mihály költészetének főbb témái (filozófiai kérdésfelvetések, az értelmiségi lét kérdései és felelőssége, értékőrzés, erkölcsi kérdések és választások) tanulmányozása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Babits Mihály „poeta doctus” költői felfogásának megismerése néhány költői eszközének tanulmányozásával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lélektani analízis tanulmányozása Kosztolányi Dezső prózájában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Kosztolányi Dezső költészetének főbb témáinak (gyermek- és ifjúkor, emlékezés, értékszembesítés, elmúlás, érzelmek stb.) tanulmányozása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szépirodalmi szövegekben megjelenített értékek, erkölcsi kérdések, motivációk, magatartásformák felismerése, értelmezése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440" w:firstLine="0"/>
        <w:jc w:val="both"/>
        <w:rPr>
          <w:rFonts w:ascii="Cambria" w:cs="Cambria" w:eastAsia="Cambria" w:hAnsi="Cambria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fogalmak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versciklus, kötetkompozíció, önmitizálás, filozófiai költészet, parafrázis, naturalizmus</w:t>
      </w:r>
    </w:p>
    <w:p w:rsidR="00000000" w:rsidDel="00000000" w:rsidP="00000000" w:rsidRDefault="00000000" w:rsidRPr="00000000" w14:paraId="00000034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3" w:top="1133" w:left="1133" w:right="1133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0" w:firstLine="0"/>
      </w:pPr>
      <w:rPr/>
    </w:lvl>
    <w:lvl w:ilvl="1">
      <w:start w:val="1"/>
      <w:numFmt w:val="lowerLetter"/>
      <w:lvlText w:val="%2."/>
      <w:lvlJc w:val="left"/>
      <w:pPr>
        <w:ind w:left="1500" w:hanging="360"/>
      </w:pPr>
      <w:rPr/>
    </w:lvl>
    <w:lvl w:ilvl="2">
      <w:start w:val="1"/>
      <w:numFmt w:val="lowerRoman"/>
      <w:lvlText w:val="%3."/>
      <w:lvlJc w:val="right"/>
      <w:pPr>
        <w:ind w:left="2220" w:hanging="180"/>
      </w:pPr>
      <w:rPr/>
    </w:lvl>
    <w:lvl w:ilvl="3">
      <w:start w:val="1"/>
      <w:numFmt w:val="decimal"/>
      <w:lvlText w:val="%4."/>
      <w:lvlJc w:val="left"/>
      <w:pPr>
        <w:ind w:left="2940" w:hanging="360"/>
      </w:pPr>
      <w:rPr/>
    </w:lvl>
    <w:lvl w:ilvl="4">
      <w:start w:val="1"/>
      <w:numFmt w:val="lowerLetter"/>
      <w:lvlText w:val="%5."/>
      <w:lvlJc w:val="left"/>
      <w:pPr>
        <w:ind w:left="3660" w:hanging="360"/>
      </w:pPr>
      <w:rPr/>
    </w:lvl>
    <w:lvl w:ilvl="5">
      <w:start w:val="1"/>
      <w:numFmt w:val="lowerRoman"/>
      <w:lvlText w:val="%6."/>
      <w:lvlJc w:val="right"/>
      <w:pPr>
        <w:ind w:left="4380" w:hanging="180"/>
      </w:pPr>
      <w:rPr/>
    </w:lvl>
    <w:lvl w:ilvl="6">
      <w:start w:val="1"/>
      <w:numFmt w:val="decimal"/>
      <w:lvlText w:val="%7."/>
      <w:lvlJc w:val="left"/>
      <w:pPr>
        <w:ind w:left="5100" w:hanging="360"/>
      </w:pPr>
      <w:rPr/>
    </w:lvl>
    <w:lvl w:ilvl="7">
      <w:start w:val="1"/>
      <w:numFmt w:val="lowerLetter"/>
      <w:lvlText w:val="%8."/>
      <w:lvlJc w:val="left"/>
      <w:pPr>
        <w:ind w:left="5820" w:hanging="360"/>
      </w:pPr>
      <w:rPr/>
    </w:lvl>
    <w:lvl w:ilvl="8">
      <w:start w:val="1"/>
      <w:numFmt w:val="lowerRoman"/>
      <w:lvlText w:val="%9."/>
      <w:lvlJc w:val="right"/>
      <w:pPr>
        <w:ind w:left="654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b w:val="1"/>
        <w:i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>
        <w:b w:val="1"/>
        <w:i w:val="1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Noto Sans Symbols" w:cs="Noto Sans Symbols" w:eastAsia="Noto Sans Symbols" w:hAnsi="Noto Sans Symbols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Noto Sans Symbols" w:cs="Noto Sans Symbols" w:eastAsia="Noto Sans Symbols" w:hAnsi="Noto Sans Symbols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Noto Sans Symbols" w:cs="Noto Sans Symbols" w:eastAsia="Noto Sans Symbols" w:hAnsi="Noto Sans Symbols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Noto Sans Symbols" w:cs="Noto Sans Symbols" w:eastAsia="Noto Sans Symbols" w:hAnsi="Noto Sans Symbols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Noto Sans Symbols" w:cs="Noto Sans Symbols" w:eastAsia="Noto Sans Symbols" w:hAnsi="Noto Sans Symbols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Noto Sans Symbols" w:cs="Noto Sans Symbols" w:eastAsia="Noto Sans Symbols" w:hAnsi="Noto Sans Symbols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Noto Sans Symbols" w:cs="Noto Sans Symbols" w:eastAsia="Noto Sans Symbols" w:hAnsi="Noto Sans Symbols"/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Noto Sans Symbols" w:cs="Noto Sans Symbols" w:eastAsia="Noto Sans Symbols" w:hAnsi="Noto Sans Symbols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Noto Sans Symbols" w:cs="Noto Sans Symbols" w:eastAsia="Noto Sans Symbols" w:hAnsi="Noto Sans Symbols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Noto Sans Symbols" w:cs="Noto Sans Symbols" w:eastAsia="Noto Sans Symbols" w:hAnsi="Noto Sans Symbols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Noto Sans Symbols" w:cs="Noto Sans Symbols" w:eastAsia="Noto Sans Symbols" w:hAnsi="Noto Sans Symbols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Noto Sans Symbols" w:cs="Noto Sans Symbols" w:eastAsia="Noto Sans Symbols" w:hAnsi="Noto Sans Symbols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Noto Sans Symbols" w:cs="Noto Sans Symbols" w:eastAsia="Noto Sans Symbols" w:hAnsi="Noto Sans Symbols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Noto Sans Symbols" w:cs="Noto Sans Symbols" w:eastAsia="Noto Sans Symbols" w:hAnsi="Noto Sans Symbols"/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u-H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rsid w:val="0001215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hu-HU"/>
    </w:rPr>
  </w:style>
  <w:style w:type="paragraph" w:styleId="Cmsor1">
    <w:name w:val="heading 1"/>
    <w:basedOn w:val="LO-normal"/>
    <w:next w:val="LO-normal"/>
    <w:link w:val="Cmsor1Char"/>
    <w:qFormat w:val="1"/>
    <w:rsid w:val="00BA3052"/>
    <w:pPr>
      <w:keepNext w:val="1"/>
      <w:keepLines w:val="1"/>
      <w:spacing w:after="120" w:before="400" w:line="240" w:lineRule="auto"/>
      <w:outlineLvl w:val="0"/>
    </w:pPr>
    <w:rPr>
      <w:b w:val="1"/>
      <w:sz w:val="28"/>
      <w:szCs w:val="28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character" w:styleId="Cmsor1Char" w:customStyle="1">
    <w:name w:val="Címsor 1 Char"/>
    <w:basedOn w:val="Bekezdsalapbettpusa"/>
    <w:link w:val="Cmsor1"/>
    <w:rsid w:val="00BA3052"/>
    <w:rPr>
      <w:rFonts w:ascii="Arial" w:cs="Arial" w:eastAsia="Arial" w:hAnsi="Arial"/>
      <w:b w:val="1"/>
      <w:sz w:val="28"/>
      <w:szCs w:val="28"/>
      <w:lang w:bidi="hi-IN" w:eastAsia="zh-CN" w:val="hu"/>
    </w:rPr>
  </w:style>
  <w:style w:type="paragraph" w:styleId="LO-normal" w:customStyle="1">
    <w:name w:val="LO-normal"/>
    <w:rsid w:val="00BA3052"/>
    <w:pPr>
      <w:suppressAutoHyphens w:val="1"/>
      <w:spacing w:after="0" w:line="276" w:lineRule="auto"/>
    </w:pPr>
    <w:rPr>
      <w:rFonts w:ascii="Arial" w:cs="Arial" w:eastAsia="Arial" w:hAnsi="Arial"/>
      <w:lang w:bidi="hi-IN" w:eastAsia="zh-CN" w:val="hu"/>
    </w:rPr>
  </w:style>
  <w:style w:type="paragraph" w:styleId="Alcm">
    <w:name w:val="Subtitle"/>
    <w:basedOn w:val="LO-normal"/>
    <w:next w:val="LO-normal"/>
    <w:link w:val="AlcmChar"/>
    <w:qFormat w:val="1"/>
    <w:rsid w:val="00BA3052"/>
    <w:pPr>
      <w:keepNext w:val="1"/>
      <w:keepLines w:val="1"/>
      <w:spacing w:after="320" w:line="240" w:lineRule="auto"/>
    </w:pPr>
    <w:rPr>
      <w:color w:val="666666"/>
      <w:sz w:val="30"/>
      <w:szCs w:val="30"/>
    </w:rPr>
  </w:style>
  <w:style w:type="character" w:styleId="AlcmChar" w:customStyle="1">
    <w:name w:val="Alcím Char"/>
    <w:basedOn w:val="Bekezdsalapbettpusa"/>
    <w:link w:val="Alcm"/>
    <w:rsid w:val="00BA3052"/>
    <w:rPr>
      <w:rFonts w:ascii="Arial" w:cs="Arial" w:eastAsia="Arial" w:hAnsi="Arial"/>
      <w:color w:val="666666"/>
      <w:sz w:val="30"/>
      <w:szCs w:val="30"/>
      <w:lang w:bidi="hi-IN" w:eastAsia="zh-CN" w:val="hu"/>
    </w:rPr>
  </w:style>
  <w:style w:type="paragraph" w:styleId="Listaszerbekezds">
    <w:name w:val="List Paragraph"/>
    <w:basedOn w:val="Norml"/>
    <w:uiPriority w:val="34"/>
    <w:qFormat w:val="1"/>
    <w:rsid w:val="00BA3052"/>
    <w:pPr>
      <w:ind w:left="720"/>
      <w:contextualSpacing w:val="1"/>
    </w:pPr>
  </w:style>
  <w:style w:type="paragraph" w:styleId="NormlWeb">
    <w:name w:val="Normal (Web)"/>
    <w:basedOn w:val="Norml"/>
    <w:uiPriority w:val="99"/>
    <w:unhideWhenUsed w:val="1"/>
    <w:rsid w:val="00012159"/>
    <w:pPr>
      <w:spacing w:after="142" w:before="100" w:beforeAutospacing="1" w:line="276" w:lineRule="auto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hUNPMiOx8E8UY+j8opwAHx34ig==">AMUW2mWtyo9benMNPH9tGSN48VPL4ZAvzBxWl+Wzo7WfMHC7SNZrOCpsdAlqC/iVt/dAIQF5iFt6tp8ILG9uvGkltgsfL0gEJwAFHvkOzLxS/fX9J3VjHwubPzzuU0LJTXPCJoQOR6thjbTWs7KTP9vV/i8NP8DxjlX5RZ9NiJcIGdjTuy+1xbc=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2022-10-25T06:58:00Z</dcterms:created>
  <dc:creator>Csizmadia Kinga</dc:creator>
</cp:coreProperties>
</file>